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00" w:lineRule="exact"/>
        <w:jc w:val="center"/>
        <w:rPr>
          <w:rFonts w:ascii="方正小标宋简体" w:hAnsi="宋体" w:eastAsia="方正小标宋简体"/>
          <w:b/>
          <w:sz w:val="30"/>
          <w:szCs w:val="30"/>
        </w:rPr>
      </w:pPr>
      <w:bookmarkStart w:id="1" w:name="_GoBack"/>
      <w:bookmarkEnd w:id="1"/>
      <w:r>
        <w:rPr>
          <w:rFonts w:hint="eastAsia" w:ascii="方正小标宋简体" w:hAnsi="宋体" w:eastAsia="方正小标宋简体"/>
          <w:b/>
          <w:sz w:val="30"/>
          <w:szCs w:val="30"/>
        </w:rPr>
        <w:t>2019年</w:t>
      </w:r>
      <w:bookmarkStart w:id="0" w:name="_Hlk10013938"/>
      <w:r>
        <w:rPr>
          <w:rFonts w:hint="eastAsia" w:ascii="方正小标宋简体" w:hAnsi="宋体" w:eastAsia="方正小标宋简体"/>
          <w:b/>
          <w:sz w:val="30"/>
          <w:szCs w:val="30"/>
        </w:rPr>
        <w:t>信息安全服务</w:t>
      </w:r>
      <w:bookmarkEnd w:id="0"/>
      <w:r>
        <w:rPr>
          <w:rFonts w:hint="eastAsia" w:ascii="方正小标宋简体" w:hAnsi="宋体" w:eastAsia="方正小标宋简体"/>
          <w:b/>
          <w:sz w:val="30"/>
          <w:szCs w:val="30"/>
        </w:rPr>
        <w:t>招标文件</w:t>
      </w:r>
    </w:p>
    <w:p>
      <w:pPr>
        <w:spacing w:before="156" w:beforeLines="50" w:after="312" w:afterLines="100" w:line="400" w:lineRule="exact"/>
        <w:jc w:val="center"/>
        <w:rPr>
          <w:rFonts w:ascii="方正小标宋简体" w:hAnsi="宋体" w:eastAsia="方正小标宋简体"/>
          <w:b/>
          <w:sz w:val="30"/>
          <w:szCs w:val="30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背景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根据我院需要对外采购服务，据用户要求及安全需求定期不定期开展信息安全服务。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服务内容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57"/>
        <w:gridCol w:w="758"/>
        <w:gridCol w:w="4372"/>
        <w:gridCol w:w="837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服务归类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服务项目</w:t>
            </w:r>
          </w:p>
        </w:tc>
        <w:tc>
          <w:tcPr>
            <w:tcW w:w="4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服务描述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服务频率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服务成果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渗透测试服务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渗透测试服务</w:t>
            </w:r>
          </w:p>
        </w:tc>
        <w:tc>
          <w:tcPr>
            <w:tcW w:w="4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模拟真实的黑客入侵时所使用的攻击技术及漏洞发现技术，对6个应用业务系统广州市检验检测与认证信息化服务平台、广州市气瓶综合管理系统、广州市质量技术监督局综合业务管理系统、广州市机动车安全技术检验监管网络系统、强制检定计量监管系统、广州市质监局门户网站进行漏洞测试及漏洞利用，从而尝试获取应用系统中的重要信息，同时也可以验证当前安全机制在抵抗入侵时的有效性，同时系统修复完成后需做回归测试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1次/年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《渗透测试报告》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源代码安全审计服务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源代码安全审计服务</w:t>
            </w:r>
          </w:p>
        </w:tc>
        <w:tc>
          <w:tcPr>
            <w:tcW w:w="4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对广州市质量技术监督局两个应用系统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（广州市质量技术监督局综合业务管理系统和强制检定计量监管系统）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进行代码级审计，判断代码逻辑、强壮性和耦合性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20万行/次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《提供源代码安全审计报告》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安全应急演练和应急响应服务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安全应急演练和应急响应服务</w:t>
            </w:r>
          </w:p>
        </w:tc>
        <w:tc>
          <w:tcPr>
            <w:tcW w:w="4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组织开展应急演练工作，评价应急预案的完备性和有效性，提出改进意见，锻炼队伍提升能力，减轻重大事件不良后果。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对响应或处理完毕需要进行应急处理的事件，即时处理需要处理的故障，包括问题实体的恢复、故障查因、事件跟踪等提供建议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1次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提供《应急预案及演练报告》。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安全通告服务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安全通告服务</w:t>
            </w:r>
          </w:p>
        </w:tc>
        <w:tc>
          <w:tcPr>
            <w:tcW w:w="4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在已管理的庞大漏洞库的基础上，不断关注国际上最新的安全漏洞信息，及时获得各种安全漏洞的第一手资料，并在每月通过邮件或传真的方式告知广州市质监局的工作人员。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无限制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每月通过邮件或传真的方式告知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安全评估服务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安全评估服务</w:t>
            </w:r>
          </w:p>
        </w:tc>
        <w:tc>
          <w:tcPr>
            <w:tcW w:w="4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通过对各类信息安全日志、信息进行综合分析，量化评估安全工作成效，提升信息安全管理水平。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1次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《安全评估报告》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安全加固服务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安全加固服务</w:t>
            </w:r>
          </w:p>
        </w:tc>
        <w:tc>
          <w:tcPr>
            <w:tcW w:w="4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根据漏洞扫描所发现的弱点和安全隐患，对广州市质量技术监督管理局信息业务系统的服务器、网络设备、信息安全设备提供安全加固建议，提高系统与服务器与系统平台运行的安全性、可靠性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1次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《安全加固建议》、《安全加固操作记录》</w:t>
            </w:r>
          </w:p>
        </w:tc>
      </w:tr>
    </w:tbl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服务报价</w:t>
      </w: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247"/>
        <w:gridCol w:w="707"/>
        <w:gridCol w:w="744"/>
        <w:gridCol w:w="811"/>
        <w:gridCol w:w="74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26" w:type="dxa"/>
            <w:gridSpan w:val="7"/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信息安全服务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2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47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707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44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11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741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974" w:type="dxa"/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信息安全服务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11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小计(元</w:t>
            </w:r>
            <w:r>
              <w:rPr>
                <w:rFonts w:ascii="宋体" w:hAnsi="宋体" w:eastAsia="宋体" w:cs="宋体"/>
                <w:kern w:val="0"/>
                <w:szCs w:val="21"/>
              </w:rPr>
              <w:t>)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招标限价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最高限价人民币</w:t>
      </w:r>
      <w:r>
        <w:rPr>
          <w:rFonts w:ascii="宋体" w:hAnsi="宋体" w:eastAsia="宋体"/>
          <w:sz w:val="24"/>
          <w:szCs w:val="24"/>
        </w:rPr>
        <w:t>180</w:t>
      </w:r>
      <w:r>
        <w:rPr>
          <w:rFonts w:hint="eastAsia"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sz w:val="24"/>
          <w:szCs w:val="24"/>
        </w:rPr>
        <w:t>000</w:t>
      </w:r>
      <w:r>
        <w:rPr>
          <w:rFonts w:hint="eastAsia" w:ascii="宋体" w:hAnsi="宋体" w:eastAsia="宋体"/>
          <w:sz w:val="24"/>
          <w:szCs w:val="24"/>
        </w:rPr>
        <w:t>元。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投标人资格及要求</w:t>
      </w:r>
    </w:p>
    <w:p>
      <w:pPr>
        <w:pStyle w:val="8"/>
        <w:numPr>
          <w:ilvl w:val="0"/>
          <w:numId w:val="2"/>
        </w:numPr>
        <w:spacing w:before="156" w:beforeLines="50" w:line="400" w:lineRule="exact"/>
        <w:ind w:firstLineChars="0"/>
        <w:outlineLvl w:val="1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具有独立法人资格的企业，具有有效的营业执照；</w:t>
      </w:r>
    </w:p>
    <w:p>
      <w:pPr>
        <w:pStyle w:val="8"/>
        <w:numPr>
          <w:ilvl w:val="0"/>
          <w:numId w:val="2"/>
        </w:numPr>
        <w:spacing w:before="156" w:beforeLines="50" w:line="400" w:lineRule="exact"/>
        <w:ind w:firstLineChars="0"/>
        <w:outlineLvl w:val="1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公司经营需要2年以上；</w:t>
      </w:r>
    </w:p>
    <w:p>
      <w:pPr>
        <w:pStyle w:val="8"/>
        <w:numPr>
          <w:ilvl w:val="0"/>
          <w:numId w:val="2"/>
        </w:numPr>
        <w:spacing w:before="156" w:beforeLines="50" w:line="400" w:lineRule="exact"/>
        <w:ind w:firstLineChars="0"/>
        <w:outlineLvl w:val="1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公司具有良好的商业信誉和售后服务；</w:t>
      </w:r>
    </w:p>
    <w:p>
      <w:pPr>
        <w:pStyle w:val="8"/>
        <w:numPr>
          <w:ilvl w:val="0"/>
          <w:numId w:val="2"/>
        </w:numPr>
        <w:spacing w:before="156" w:beforeLines="50" w:line="400" w:lineRule="exact"/>
        <w:ind w:firstLineChars="0"/>
        <w:outlineLvl w:val="1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公司具有履行合同所必需的设备和专业技术能力；</w:t>
      </w:r>
    </w:p>
    <w:p>
      <w:pPr>
        <w:pStyle w:val="8"/>
        <w:numPr>
          <w:ilvl w:val="0"/>
          <w:numId w:val="2"/>
        </w:numPr>
        <w:spacing w:before="156" w:beforeLines="50" w:line="400" w:lineRule="exact"/>
        <w:ind w:firstLineChars="0"/>
        <w:outlineLvl w:val="1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招标人应遵守有关的国家法律、法令和条例。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投标联系方式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 xml:space="preserve">83228514 </w:t>
      </w:r>
      <w:r>
        <w:rPr>
          <w:rFonts w:hint="eastAsia" w:ascii="宋体" w:hAnsi="宋体" w:eastAsia="宋体"/>
          <w:sz w:val="24"/>
          <w:szCs w:val="24"/>
        </w:rPr>
        <w:t>何帅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="156" w:beforeLines="50" w:after="156" w:afterLines="50" w:line="400" w:lineRule="exact"/>
        <w:ind w:firstLineChars="0"/>
        <w:outlineLvl w:val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招标截至时间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2019年</w:t>
      </w: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12</w:t>
      </w:r>
      <w:r>
        <w:rPr>
          <w:rFonts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</w:rPr>
        <w:t>上午1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：0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566" w:firstLineChars="236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right="84" w:rightChars="40" w:firstLine="566" w:firstLineChars="236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广州市标准化研究院</w:t>
      </w:r>
    </w:p>
    <w:p>
      <w:pPr>
        <w:spacing w:line="400" w:lineRule="exact"/>
        <w:ind w:right="84" w:rightChars="40" w:firstLine="566" w:firstLineChars="236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2019年</w:t>
      </w: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AA0"/>
    <w:multiLevelType w:val="multilevel"/>
    <w:tmpl w:val="4ECE0AA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EE085B"/>
    <w:multiLevelType w:val="multilevel"/>
    <w:tmpl w:val="6AEE085B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2"/>
    <w:rsid w:val="00005CA3"/>
    <w:rsid w:val="00006E2C"/>
    <w:rsid w:val="00011EAC"/>
    <w:rsid w:val="00030166"/>
    <w:rsid w:val="000408A2"/>
    <w:rsid w:val="00045F0E"/>
    <w:rsid w:val="00053F3E"/>
    <w:rsid w:val="00066511"/>
    <w:rsid w:val="000822E6"/>
    <w:rsid w:val="000A70A0"/>
    <w:rsid w:val="000E0084"/>
    <w:rsid w:val="0010133E"/>
    <w:rsid w:val="00115B73"/>
    <w:rsid w:val="0014056C"/>
    <w:rsid w:val="001A76C1"/>
    <w:rsid w:val="001D1444"/>
    <w:rsid w:val="001F2F76"/>
    <w:rsid w:val="0022550E"/>
    <w:rsid w:val="0026020D"/>
    <w:rsid w:val="002652EA"/>
    <w:rsid w:val="00292166"/>
    <w:rsid w:val="002E40DE"/>
    <w:rsid w:val="00305C00"/>
    <w:rsid w:val="00367D04"/>
    <w:rsid w:val="00382687"/>
    <w:rsid w:val="003900F2"/>
    <w:rsid w:val="003B39FF"/>
    <w:rsid w:val="003C136C"/>
    <w:rsid w:val="003D5F10"/>
    <w:rsid w:val="003D7A62"/>
    <w:rsid w:val="003E29F4"/>
    <w:rsid w:val="003E760D"/>
    <w:rsid w:val="003F7067"/>
    <w:rsid w:val="0040141E"/>
    <w:rsid w:val="0040212B"/>
    <w:rsid w:val="00407A18"/>
    <w:rsid w:val="00421FC9"/>
    <w:rsid w:val="00440371"/>
    <w:rsid w:val="004577F7"/>
    <w:rsid w:val="00467F26"/>
    <w:rsid w:val="004860DC"/>
    <w:rsid w:val="004924CE"/>
    <w:rsid w:val="004A3482"/>
    <w:rsid w:val="004C3942"/>
    <w:rsid w:val="00520F36"/>
    <w:rsid w:val="005409CA"/>
    <w:rsid w:val="005564AA"/>
    <w:rsid w:val="005611A0"/>
    <w:rsid w:val="005B0577"/>
    <w:rsid w:val="005D14F6"/>
    <w:rsid w:val="00614BF5"/>
    <w:rsid w:val="006200D1"/>
    <w:rsid w:val="006360DD"/>
    <w:rsid w:val="006A4D15"/>
    <w:rsid w:val="006C2E33"/>
    <w:rsid w:val="006C51AF"/>
    <w:rsid w:val="006D38F7"/>
    <w:rsid w:val="00741A62"/>
    <w:rsid w:val="00746EE3"/>
    <w:rsid w:val="00774253"/>
    <w:rsid w:val="007D6B61"/>
    <w:rsid w:val="008101E8"/>
    <w:rsid w:val="008110FE"/>
    <w:rsid w:val="00811A5A"/>
    <w:rsid w:val="0081374E"/>
    <w:rsid w:val="00843D3C"/>
    <w:rsid w:val="0088316E"/>
    <w:rsid w:val="00895098"/>
    <w:rsid w:val="0089553B"/>
    <w:rsid w:val="008B2233"/>
    <w:rsid w:val="008D41C7"/>
    <w:rsid w:val="008D539F"/>
    <w:rsid w:val="00901E1C"/>
    <w:rsid w:val="00945622"/>
    <w:rsid w:val="0095662C"/>
    <w:rsid w:val="00957D21"/>
    <w:rsid w:val="00985D76"/>
    <w:rsid w:val="009950BB"/>
    <w:rsid w:val="00997828"/>
    <w:rsid w:val="00A37220"/>
    <w:rsid w:val="00A41629"/>
    <w:rsid w:val="00A6691E"/>
    <w:rsid w:val="00A674C9"/>
    <w:rsid w:val="00A96E29"/>
    <w:rsid w:val="00AB5CC7"/>
    <w:rsid w:val="00AD62BE"/>
    <w:rsid w:val="00AE5F62"/>
    <w:rsid w:val="00B0158A"/>
    <w:rsid w:val="00B71B2E"/>
    <w:rsid w:val="00B92CB3"/>
    <w:rsid w:val="00BA12D0"/>
    <w:rsid w:val="00BA2C7E"/>
    <w:rsid w:val="00BB3131"/>
    <w:rsid w:val="00BC3066"/>
    <w:rsid w:val="00BE541F"/>
    <w:rsid w:val="00C248D8"/>
    <w:rsid w:val="00C27E47"/>
    <w:rsid w:val="00C47B3C"/>
    <w:rsid w:val="00C91C89"/>
    <w:rsid w:val="00CC1A49"/>
    <w:rsid w:val="00D25ED4"/>
    <w:rsid w:val="00D429A1"/>
    <w:rsid w:val="00D62DB3"/>
    <w:rsid w:val="00D80CB9"/>
    <w:rsid w:val="00D84493"/>
    <w:rsid w:val="00D90350"/>
    <w:rsid w:val="00DB0E32"/>
    <w:rsid w:val="00E02CE3"/>
    <w:rsid w:val="00E041F0"/>
    <w:rsid w:val="00E105DE"/>
    <w:rsid w:val="00E17785"/>
    <w:rsid w:val="00E31149"/>
    <w:rsid w:val="00E7161A"/>
    <w:rsid w:val="00E74642"/>
    <w:rsid w:val="00E774BB"/>
    <w:rsid w:val="00EB6DBD"/>
    <w:rsid w:val="00EC3C50"/>
    <w:rsid w:val="00ED38C6"/>
    <w:rsid w:val="00ED7452"/>
    <w:rsid w:val="00EE5973"/>
    <w:rsid w:val="00EF0EC9"/>
    <w:rsid w:val="00EF54A1"/>
    <w:rsid w:val="00F02FD4"/>
    <w:rsid w:val="00F0657A"/>
    <w:rsid w:val="00FA15C6"/>
    <w:rsid w:val="00FF476B"/>
    <w:rsid w:val="6BAD2BD7"/>
    <w:rsid w:val="7FB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1"/>
    <w:qFormat/>
    <w:uiPriority w:val="0"/>
    <w:pPr>
      <w:ind w:firstLine="420"/>
    </w:pPr>
    <w:rPr>
      <w:rFonts w:eastAsia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缩进 Char"/>
    <w:link w:val="2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1004</Characters>
  <Lines>8</Lines>
  <Paragraphs>2</Paragraphs>
  <TotalTime>402</TotalTime>
  <ScaleCrop>false</ScaleCrop>
  <LinksUpToDate>false</LinksUpToDate>
  <CharactersWithSpaces>1178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2019-05-14T06:26:00Z</dcterms:created>
  <dc:creator>Administrator</dc:creator>
  <cp:lastModifiedBy>MKIU</cp:lastModifiedBy>
  <dcterms:modified xsi:type="dcterms:W3CDTF">2019-07-08T03:46:12Z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