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pStyle w:val="7"/>
        <w:ind w:left="0" w:leftChars="0" w:firstLine="0" w:firstLineChars="0"/>
        <w:rPr>
          <w:rFonts w:hint="eastAsia"/>
          <w:sz w:val="24"/>
          <w:szCs w:val="24"/>
          <w:lang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评审表</w:t>
      </w:r>
      <w:bookmarkEnd w:id="0"/>
    </w:p>
    <w:p>
      <w:pPr>
        <w:pStyle w:val="7"/>
        <w:ind w:left="0" w:leftChars="0" w:firstLine="0" w:firstLineChars="0"/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pStyle w:val="7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项目名称：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广州市标准化研究院工会202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年工会会员生日蛋糕券采购项目</w:t>
      </w:r>
    </w:p>
    <w:tbl>
      <w:tblPr>
        <w:tblStyle w:val="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825"/>
        <w:gridCol w:w="1275"/>
        <w:gridCol w:w="765"/>
        <w:gridCol w:w="855"/>
        <w:gridCol w:w="85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评审内容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分数（满分100分）</w:t>
            </w:r>
          </w:p>
        </w:tc>
        <w:tc>
          <w:tcPr>
            <w:tcW w:w="76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评分</w:t>
            </w:r>
          </w:p>
        </w:tc>
        <w:tc>
          <w:tcPr>
            <w:tcW w:w="855" w:type="dxa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报价单位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855" w:type="dxa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报价单位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863" w:type="dxa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报价单位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在广州市所辖区有合作的蛋糕品牌，1个品牌得1分，最多20分。需提供相应合作品牌证明，如品牌授权书或品牌合作协议。如不如实提供相关资质证明，则不得分。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eastAsia="zh-CN"/>
              </w:rPr>
              <w:t>投标人自20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eastAsia="zh-CN"/>
              </w:rPr>
              <w:t>年至今，生日蛋糕券类项目业绩需合同金额10万元及以上的相关案例，每个业绩得1分，最高4分，无0分。（以提供采购合同复印件为准，未提供不得分）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获得行业内的证书及奖项，每获得一个得0.5分，无0分，最高2分。（需提供资质证明）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有专业的客服团队及专属售后跟进得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分；有专业的客服团队或专属售后跟进得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分；其余不得分。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横向比较各投标人的服务方案，优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分，良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分，一般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分，差0分。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横向比较各投标人的合作品牌知名度，优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0分，良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分，一般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分，差0分。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蛋糕券使用的服务便利性，优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分，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分，一般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，差0分。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Style w:val="8"/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25" w:type="dxa"/>
          </w:tcPr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货物内容为生日蛋糕券，实际结算价为400元/张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报价人按蛋糕券的配赠率进行报价，一律按照格式百分之几报价，如：报“5%”配赠率，则支付金额为400元/张，每张券面值为420元，可兑换标价420的货物，其他形式的报价不接受，认定为报价无效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br w:type="textWrapping"/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按所报配赠率分档次，配赠率最高者满分，每降一个档次扣2分。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jc w:val="both"/>
              <w:rPr>
                <w:rFonts w:hint="default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D07E0"/>
    <w:rsid w:val="22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/>
      <w:sz w:val="24"/>
    </w:rPr>
  </w:style>
  <w:style w:type="paragraph" w:styleId="3">
    <w:name w:val="Plain Text"/>
    <w:basedOn w:val="1"/>
    <w:qFormat/>
    <w:uiPriority w:val="0"/>
    <w:rPr>
      <w:rFonts w:ascii="宋体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3"/>
    <w:basedOn w:val="1"/>
    <w:qFormat/>
    <w:uiPriority w:val="0"/>
    <w:pPr>
      <w:widowControl w:val="0"/>
      <w:ind w:firstLine="420" w:firstLineChars="200"/>
      <w:jc w:val="both"/>
    </w:pPr>
    <w:rPr>
      <w:kern w:val="2"/>
      <w:sz w:val="20"/>
      <w:szCs w:val="24"/>
    </w:rPr>
  </w:style>
  <w:style w:type="character" w:customStyle="1" w:styleId="8">
    <w:name w:val="Header Char1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2024-04-02T02:40:00Z</dcterms:created>
  <dc:creator>Ting</dc:creator>
  <cp:lastModifiedBy>Ting</cp:lastModifiedBy>
  <dcterms:modified xsi:type="dcterms:W3CDTF">2024-04-02T02:40:18Z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E6BA82AD408442B182D8F295003D381C</vt:lpwstr>
  </property>
</Properties>
</file>